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3"/>
        <w:widowControl/>
        <w:shd w:val="clear" w:color="auto" w:fill="FFFFFF"/>
        <w:spacing w:before="30" w:beforeAutospacing="0" w:after="30" w:afterAutospacing="0" w:line="240" w:lineRule="auto"/>
        <w:ind w:left="0" w:firstLine="0"/>
        <w:jc w:val="center"/>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color="auto" w:fill="FFFFFF"/>
        </w:rPr>
        <w:t>ИНФОРМАЦИОННАЯ ПАМЯТКА</w:t>
      </w:r>
    </w:p>
    <w:p>
      <w:pPr>
        <w:pStyle w:val="13"/>
        <w:widowControl/>
        <w:shd w:val="clear" w:color="auto" w:fill="FFFFFF"/>
        <w:spacing w:before="30" w:beforeAutospacing="0" w:after="30" w:afterAutospacing="0" w:line="240" w:lineRule="auto"/>
        <w:ind w:left="0" w:firstLine="0"/>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color="auto" w:fill="FFFFFF"/>
        </w:rPr>
        <w:t>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pPr>
        <w:pStyle w:val="13"/>
        <w:widowControl/>
        <w:shd w:val="clear" w:color="auto" w:fill="FFFFFF"/>
        <w:spacing w:before="30" w:beforeAutospacing="0" w:after="30" w:afterAutospacing="0" w:line="240" w:lineRule="auto"/>
        <w:ind w:left="0" w:firstLine="0"/>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color="auto" w:fill="FFFFFF"/>
        </w:rPr>
        <w:t> </w:t>
      </w:r>
    </w:p>
    <w:p>
      <w:pPr>
        <w:pStyle w:val="13"/>
        <w:widowControl/>
        <w:shd w:val="clear" w:color="auto" w:fill="FFFFFF"/>
        <w:spacing w:before="30" w:beforeAutospacing="0" w:after="30" w:afterAutospacing="0" w:line="240" w:lineRule="auto"/>
        <w:ind w:left="0" w:firstLine="0"/>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i w:val="0"/>
          <w:caps w:val="0"/>
          <w:color w:val="000000"/>
          <w:spacing w:val="0"/>
          <w:sz w:val="24"/>
          <w:szCs w:val="24"/>
          <w:shd w:val="clear" w:color="auto" w:fill="FFFFFF"/>
        </w:rPr>
        <w:t>Получение взятки </w:t>
      </w:r>
      <w:r>
        <w:rPr>
          <w:rFonts w:hint="default" w:ascii="Times New Roman" w:hAnsi="Times New Roman" w:cs="Times New Roman"/>
          <w:b w:val="0"/>
          <w:i w:val="0"/>
          <w:caps w:val="0"/>
          <w:color w:val="000000"/>
          <w:spacing w:val="0"/>
          <w:sz w:val="24"/>
          <w:szCs w:val="24"/>
          <w:shd w:val="clear" w:color="auto" w:fill="FFFFFF"/>
        </w:rPr>
        <w:t>-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pPr>
        <w:pStyle w:val="13"/>
        <w:widowControl/>
        <w:shd w:val="clear" w:color="auto" w:fill="FFFFFF"/>
        <w:spacing w:before="30" w:beforeAutospacing="0" w:after="30" w:afterAutospacing="0" w:line="240" w:lineRule="auto"/>
        <w:ind w:left="0" w:firstLine="0"/>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i w:val="0"/>
          <w:caps w:val="0"/>
          <w:color w:val="000000"/>
          <w:spacing w:val="0"/>
          <w:sz w:val="24"/>
          <w:szCs w:val="24"/>
          <w:shd w:val="clear" w:color="auto" w:fill="FFFFFF"/>
        </w:rPr>
        <w:t>Дача взятки</w:t>
      </w:r>
      <w:r>
        <w:rPr>
          <w:rFonts w:hint="default" w:ascii="Times New Roman" w:hAnsi="Times New Roman" w:cs="Times New Roman"/>
          <w:b w:val="0"/>
          <w:i w:val="0"/>
          <w:caps w:val="0"/>
          <w:color w:val="000000"/>
          <w:spacing w:val="0"/>
          <w:sz w:val="24"/>
          <w:szCs w:val="24"/>
          <w:shd w:val="clear" w:color="auto" w:fill="FFFFFF"/>
        </w:rPr>
        <w:t>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pPr>
        <w:pStyle w:val="13"/>
        <w:widowControl/>
        <w:shd w:val="clear" w:color="auto" w:fill="FFFFFF"/>
        <w:spacing w:before="30" w:beforeAutospacing="0" w:after="30" w:afterAutospacing="0" w:line="240" w:lineRule="auto"/>
        <w:ind w:left="0" w:firstLine="0"/>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color="auto" w:fill="FFFFFF"/>
        </w:rPr>
        <w:t>Уголовный кодекс Российской Федерации предусматривает следующие виды преступлений, связанных со взяткой:</w:t>
      </w:r>
    </w:p>
    <w:p>
      <w:pPr>
        <w:pStyle w:val="13"/>
        <w:widowControl/>
        <w:shd w:val="clear" w:color="auto" w:fill="FFFFFF"/>
        <w:spacing w:before="30" w:beforeAutospacing="0" w:after="30" w:afterAutospacing="0" w:line="240" w:lineRule="auto"/>
        <w:ind w:left="0" w:firstLine="0"/>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color="auto" w:fill="FFFFFF"/>
        </w:rPr>
        <w:t>·         </w:t>
      </w:r>
      <w:r>
        <w:rPr>
          <w:rFonts w:hint="default" w:ascii="Times New Roman" w:hAnsi="Times New Roman" w:cs="Times New Roman"/>
          <w:b/>
          <w:i w:val="0"/>
          <w:caps w:val="0"/>
          <w:color w:val="000000"/>
          <w:spacing w:val="0"/>
          <w:sz w:val="24"/>
          <w:szCs w:val="24"/>
          <w:shd w:val="clear" w:color="auto" w:fill="FFFFFF"/>
        </w:rPr>
        <w:t> </w:t>
      </w:r>
      <w:r>
        <w:rPr>
          <w:rFonts w:hint="default" w:ascii="Times New Roman" w:hAnsi="Times New Roman" w:cs="Times New Roman"/>
          <w:b w:val="0"/>
          <w:i w:val="0"/>
          <w:caps w:val="0"/>
          <w:color w:val="000000"/>
          <w:spacing w:val="0"/>
          <w:sz w:val="24"/>
          <w:szCs w:val="24"/>
          <w:shd w:val="clear" w:color="auto" w:fill="FFFFFF"/>
        </w:rPr>
        <w:t>получение взятки (статья 290);</w:t>
      </w:r>
    </w:p>
    <w:p>
      <w:pPr>
        <w:pStyle w:val="13"/>
        <w:widowControl/>
        <w:shd w:val="clear" w:color="auto" w:fill="FFFFFF"/>
        <w:spacing w:before="30" w:beforeAutospacing="0" w:after="30" w:afterAutospacing="0" w:line="240" w:lineRule="auto"/>
        <w:ind w:left="0" w:firstLine="0"/>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color="auto" w:fill="FFFFFF"/>
        </w:rPr>
        <w:t>·         дача взятки (статья 291);</w:t>
      </w:r>
    </w:p>
    <w:p>
      <w:pPr>
        <w:pStyle w:val="13"/>
        <w:widowControl/>
        <w:shd w:val="clear" w:color="auto" w:fill="FFFFFF"/>
        <w:spacing w:before="30" w:beforeAutospacing="0" w:after="30" w:afterAutospacing="0" w:line="240" w:lineRule="auto"/>
        <w:ind w:left="0" w:firstLine="0"/>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color="auto" w:fill="FFFFFF"/>
        </w:rPr>
        <w:t>·         посредничество во взяточничестве (статья 291.1.);</w:t>
      </w:r>
    </w:p>
    <w:p>
      <w:pPr>
        <w:pStyle w:val="13"/>
        <w:widowControl/>
        <w:shd w:val="clear" w:color="auto" w:fill="FFFFFF"/>
        <w:spacing w:before="30" w:beforeAutospacing="0" w:after="30" w:afterAutospacing="0" w:line="240" w:lineRule="auto"/>
        <w:ind w:left="0" w:firstLine="0"/>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color="auto" w:fill="FFFFFF"/>
        </w:rPr>
        <w:t>·         коммерческий подкуп (статья 204);</w:t>
      </w:r>
    </w:p>
    <w:p>
      <w:pPr>
        <w:pStyle w:val="13"/>
        <w:widowControl/>
        <w:shd w:val="clear" w:color="auto" w:fill="FFFFFF"/>
        <w:spacing w:before="30" w:beforeAutospacing="0" w:after="30" w:afterAutospacing="0" w:line="240" w:lineRule="auto"/>
        <w:ind w:left="0" w:firstLine="0"/>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color="auto" w:fill="FFFFFF"/>
        </w:rPr>
        <w:t>·         провокация взятки либо коммерческого подкупа (статья 304).</w:t>
      </w:r>
    </w:p>
    <w:p>
      <w:pPr>
        <w:pStyle w:val="13"/>
        <w:widowControl/>
        <w:shd w:val="clear" w:color="auto" w:fill="FFFFFF"/>
        <w:spacing w:before="30" w:beforeAutospacing="0" w:after="30" w:afterAutospacing="0" w:line="240" w:lineRule="auto"/>
        <w:ind w:left="0" w:firstLine="0"/>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color="auto" w:fill="FFFFFF"/>
        </w:rPr>
        <w:t>Кроме этого, статья 19.28. Кодекса Российской Федерации об административных правонарушениях от 30  декабря  2001  года № 195-ФЗ предусматривает ответственность за незаконное вознаграждение от имени юридического лица.</w:t>
      </w:r>
    </w:p>
    <w:p>
      <w:pPr>
        <w:pStyle w:val="13"/>
        <w:widowControl/>
        <w:shd w:val="clear" w:color="auto" w:fill="FFFFFF"/>
        <w:spacing w:before="30" w:beforeAutospacing="0" w:after="30" w:afterAutospacing="0" w:line="240" w:lineRule="auto"/>
        <w:ind w:left="0" w:firstLine="0"/>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i w:val="0"/>
          <w:caps w:val="0"/>
          <w:color w:val="000000"/>
          <w:spacing w:val="0"/>
          <w:sz w:val="24"/>
          <w:szCs w:val="24"/>
          <w:shd w:val="clear" w:color="auto" w:fill="FFFFFF"/>
        </w:rPr>
        <w:t>ВЗЯТКОЙ МОГУТ БЫТЬ:</w:t>
      </w:r>
    </w:p>
    <w:p>
      <w:pPr>
        <w:pStyle w:val="13"/>
        <w:widowControl/>
        <w:shd w:val="clear" w:color="auto" w:fill="FFFFFF"/>
        <w:spacing w:before="30" w:beforeAutospacing="0" w:after="30" w:afterAutospacing="0" w:line="240" w:lineRule="auto"/>
        <w:ind w:left="0" w:firstLine="0"/>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u w:val="single"/>
          <w:shd w:val="clear" w:color="auto" w:fill="FFFFFF"/>
        </w:rPr>
        <w:t>Предметы</w:t>
      </w:r>
      <w:r>
        <w:rPr>
          <w:rFonts w:hint="default" w:ascii="Times New Roman" w:hAnsi="Times New Roman" w:cs="Times New Roman"/>
          <w:b w:val="0"/>
          <w:i w:val="0"/>
          <w:caps w:val="0"/>
          <w:color w:val="000000"/>
          <w:spacing w:val="0"/>
          <w:sz w:val="24"/>
          <w:szCs w:val="24"/>
          <w:shd w:val="clear" w:color="auto" w:fill="FFFFFF"/>
        </w:rPr>
        <w:t>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иное имущество, в том числе изъятое из оборота или ограниченное в обороте (наркотические средства, психотропные вещества, оружие, боеприпасы и др.).</w:t>
      </w:r>
    </w:p>
    <w:p>
      <w:pPr>
        <w:pStyle w:val="13"/>
        <w:widowControl/>
        <w:shd w:val="clear" w:color="auto" w:fill="FFFFFF"/>
        <w:spacing w:before="30" w:beforeAutospacing="0" w:after="30" w:afterAutospacing="0" w:line="240" w:lineRule="auto"/>
        <w:ind w:left="0" w:firstLine="0"/>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u w:val="single"/>
          <w:shd w:val="clear" w:color="auto" w:fill="FFFFFF"/>
        </w:rPr>
        <w:t>Услуги и выгоды</w:t>
      </w:r>
      <w:r>
        <w:rPr>
          <w:rFonts w:hint="default" w:ascii="Times New Roman" w:hAnsi="Times New Roman" w:cs="Times New Roman"/>
          <w:b w:val="0"/>
          <w:i w:val="0"/>
          <w:caps w:val="0"/>
          <w:color w:val="000000"/>
          <w:spacing w:val="0"/>
          <w:sz w:val="24"/>
          <w:szCs w:val="24"/>
          <w:shd w:val="clear" w:color="auto" w:fill="FFFFFF"/>
        </w:rPr>
        <w:t>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pPr>
        <w:pStyle w:val="13"/>
        <w:widowControl/>
        <w:shd w:val="clear" w:color="auto" w:fill="FFFFFF"/>
        <w:spacing w:before="30" w:beforeAutospacing="0" w:after="30" w:afterAutospacing="0" w:line="240" w:lineRule="auto"/>
        <w:ind w:left="0" w:firstLine="0"/>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u w:val="single"/>
          <w:shd w:val="clear" w:color="auto" w:fill="FFFFFF"/>
        </w:rPr>
        <w:t>Завуалированная форма взятки</w:t>
      </w:r>
      <w:r>
        <w:rPr>
          <w:rFonts w:hint="default" w:ascii="Times New Roman" w:hAnsi="Times New Roman" w:cs="Times New Roman"/>
          <w:b w:val="0"/>
          <w:i w:val="0"/>
          <w:caps w:val="0"/>
          <w:color w:val="000000"/>
          <w:spacing w:val="0"/>
          <w:sz w:val="24"/>
          <w:szCs w:val="24"/>
          <w:shd w:val="clear" w:color="auto" w:fill="FFFFFF"/>
        </w:rPr>
        <w:t>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w:t>
      </w:r>
    </w:p>
    <w:p>
      <w:pPr>
        <w:pStyle w:val="13"/>
        <w:widowControl/>
        <w:shd w:val="clear" w:color="auto" w:fill="FFFFFF"/>
        <w:spacing w:before="30" w:beforeAutospacing="0" w:after="30" w:afterAutospacing="0" w:line="240" w:lineRule="auto"/>
        <w:ind w:left="0" w:firstLine="0"/>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color="auto" w:fill="FFFFFF"/>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pPr>
        <w:pStyle w:val="13"/>
        <w:widowControl/>
        <w:shd w:val="clear" w:color="auto" w:fill="FFFFFF"/>
        <w:spacing w:before="30" w:beforeAutospacing="0" w:after="30" w:afterAutospacing="0" w:line="240" w:lineRule="auto"/>
        <w:ind w:left="0" w:firstLine="0"/>
        <w:jc w:val="center"/>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i w:val="0"/>
          <w:caps w:val="0"/>
          <w:color w:val="000000"/>
          <w:spacing w:val="0"/>
          <w:sz w:val="24"/>
          <w:szCs w:val="24"/>
          <w:u w:val="single"/>
          <w:shd w:val="clear" w:color="auto" w:fill="FFFFFF"/>
        </w:rPr>
        <w:t>Статья 290. Получение взятки</w:t>
      </w:r>
    </w:p>
    <w:tbl>
      <w:tblPr>
        <w:tblW w:w="8652" w:type="dxa"/>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178"/>
        <w:gridCol w:w="547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PrEx>
        <w:trPr>
          <w:tblCellSpacing w:w="0" w:type="dxa"/>
        </w:trPr>
        <w:tc>
          <w:tcPr>
            <w:tcW w:w="3178"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b/>
                <w:sz w:val="24"/>
                <w:szCs w:val="24"/>
              </w:rPr>
              <w:t>Преступление</w:t>
            </w:r>
          </w:p>
        </w:tc>
        <w:tc>
          <w:tcPr>
            <w:tcW w:w="5474"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b/>
                <w:sz w:val="24"/>
                <w:szCs w:val="24"/>
              </w:rPr>
              <w:t>Наказание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PrEx>
        <w:trPr>
          <w:tblCellSpacing w:w="0" w:type="dxa"/>
        </w:trPr>
        <w:tc>
          <w:tcPr>
            <w:tcW w:w="3178"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Получение взятки должностным лицом лично или через посредника</w:t>
            </w:r>
          </w:p>
        </w:tc>
        <w:tc>
          <w:tcPr>
            <w:tcW w:w="5474"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штраф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либо лишение свободы на срок до трех лет со штрафом в размере двадцатикратной суммы взятки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PrEx>
        <w:trPr>
          <w:tblCellSpacing w:w="0" w:type="dxa"/>
        </w:trPr>
        <w:tc>
          <w:tcPr>
            <w:tcW w:w="3178"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Получение должностным лицом взятки в значительном размере (сумма денег, стоимость ценных бумаг, иного имущества, услуг имущественного характера, иных имущественных прав, превышает 25 тысяч рублей)</w:t>
            </w:r>
          </w:p>
        </w:tc>
        <w:tc>
          <w:tcPr>
            <w:tcW w:w="5474"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до шести лет со штрафом в размере тридцатикратной суммы взятки.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PrEx>
        <w:trPr>
          <w:tblCellSpacing w:w="0" w:type="dxa"/>
        </w:trPr>
        <w:tc>
          <w:tcPr>
            <w:tcW w:w="3178"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Получение взятки должностным лицом за незаконные действия (бездействие)</w:t>
            </w:r>
          </w:p>
        </w:tc>
        <w:tc>
          <w:tcPr>
            <w:tcW w:w="5474"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от трех до семи лет со штрафом в размере сорокакратной суммы взятки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PrEx>
        <w:trPr>
          <w:tblCellSpacing w:w="0" w:type="dxa"/>
        </w:trPr>
        <w:tc>
          <w:tcPr>
            <w:tcW w:w="3178"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Совершение вышеназванных преступлений лицом, занимающим государственную должность Российской Федерации, субъекта Российской Федерации</w:t>
            </w:r>
          </w:p>
        </w:tc>
        <w:tc>
          <w:tcPr>
            <w:tcW w:w="5474"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от пяти до десяти лет со штрафом в размере пятидесятикратной суммы взятки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PrEx>
        <w:trPr>
          <w:tblCellSpacing w:w="0" w:type="dxa"/>
        </w:trPr>
        <w:tc>
          <w:tcPr>
            <w:tcW w:w="3178"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Совершение преступления: группой лиц по предварительному сговору или организованной группой; с вымогательством; в крупном размере (свыше 150 тысяч руб.)</w:t>
            </w:r>
          </w:p>
        </w:tc>
        <w:tc>
          <w:tcPr>
            <w:tcW w:w="5474"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штраф в размере от семидесятикратной до девяностократной суммы взятки либо 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PrEx>
        <w:trPr>
          <w:tblCellSpacing w:w="0" w:type="dxa"/>
        </w:trPr>
        <w:tc>
          <w:tcPr>
            <w:tcW w:w="3178"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Совершение преступления в особо крупном размере (свыше одного миллиона рублей)</w:t>
            </w:r>
          </w:p>
        </w:tc>
        <w:tc>
          <w:tcPr>
            <w:tcW w:w="5474"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от восьми до пятнадцати лет со штрафом в размере семидесятикратной суммы взятки</w:t>
            </w:r>
          </w:p>
        </w:tc>
      </w:tr>
    </w:tbl>
    <w:p>
      <w:pPr>
        <w:pStyle w:val="13"/>
        <w:widowControl/>
        <w:shd w:val="clear" w:color="auto" w:fill="FFFFFF"/>
        <w:spacing w:before="30" w:beforeAutospacing="0" w:after="30" w:afterAutospacing="0" w:line="240" w:lineRule="auto"/>
        <w:ind w:left="0" w:firstLine="0"/>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color="auto" w:fill="FFFFFF"/>
        </w:rPr>
        <w:t> </w:t>
      </w:r>
    </w:p>
    <w:p>
      <w:pPr>
        <w:pStyle w:val="13"/>
        <w:widowControl/>
        <w:shd w:val="clear" w:color="auto" w:fill="FFFFFF"/>
        <w:spacing w:before="30" w:beforeAutospacing="0" w:after="30" w:afterAutospacing="0" w:line="240" w:lineRule="auto"/>
        <w:ind w:left="0" w:firstLine="0"/>
        <w:jc w:val="center"/>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i w:val="0"/>
          <w:caps w:val="0"/>
          <w:color w:val="000000"/>
          <w:spacing w:val="0"/>
          <w:sz w:val="24"/>
          <w:szCs w:val="24"/>
          <w:u w:val="single"/>
          <w:shd w:val="clear" w:color="auto" w:fill="FFFFFF"/>
        </w:rPr>
        <w:t>Статья 291. Дача взятки</w:t>
      </w:r>
    </w:p>
    <w:tbl>
      <w:tblPr>
        <w:tblW w:w="8652" w:type="dxa"/>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740"/>
        <w:gridCol w:w="491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PrEx>
        <w:trPr>
          <w:tblCellSpacing w:w="0" w:type="dxa"/>
        </w:trPr>
        <w:tc>
          <w:tcPr>
            <w:tcW w:w="3740"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b/>
                <w:sz w:val="24"/>
                <w:szCs w:val="24"/>
              </w:rPr>
              <w:t>Преступление</w:t>
            </w:r>
          </w:p>
        </w:tc>
        <w:tc>
          <w:tcPr>
            <w:tcW w:w="4912"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b/>
                <w:sz w:val="24"/>
                <w:szCs w:val="24"/>
              </w:rPr>
              <w:t>Наказание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PrEx>
        <w:trPr>
          <w:tblCellSpacing w:w="0" w:type="dxa"/>
        </w:trPr>
        <w:tc>
          <w:tcPr>
            <w:tcW w:w="3740"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Дача взятки должностному лицу лично или через посредника</w:t>
            </w:r>
          </w:p>
        </w:tc>
        <w:tc>
          <w:tcPr>
            <w:tcW w:w="4912"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штраф в размере от пятнадцатикратной до тридцатикратной суммы взятки, либо принудительные работы на срок до трех лет, либо лишение свободы на срок до двух лет со штрафом в размере десятикратной суммы взятки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PrEx>
        <w:trPr>
          <w:tblCellSpacing w:w="0" w:type="dxa"/>
        </w:trPr>
        <w:tc>
          <w:tcPr>
            <w:tcW w:w="3740"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Дача взятки должностному лицу лично или через посредника в значительном размере (сумма денег, стоимость ценных бумаг, иного имущества, услуг имущественного характера, иных имущественных прав, превышает         25 тысяч рублей)</w:t>
            </w:r>
          </w:p>
        </w:tc>
        <w:tc>
          <w:tcPr>
            <w:tcW w:w="4912"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штраф в размере от двадцатикратной до сорокакратной суммы взятки либо лишение свободы на срок до трех лет со штрафом в размере пятнадцатикратной суммы взятки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PrEx>
        <w:trPr>
          <w:tblCellSpacing w:w="0" w:type="dxa"/>
        </w:trPr>
        <w:tc>
          <w:tcPr>
            <w:tcW w:w="3740"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Дача взятки должностному лицу лично или через посредника за совершение заведомо незаконных действий (бездействие)</w:t>
            </w:r>
          </w:p>
        </w:tc>
        <w:tc>
          <w:tcPr>
            <w:tcW w:w="4912"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штраф в размере от тридцатикратной до шестидесятикратной суммы взятки либо лишение свободы на срок до восьми лет со штрафом в размере тридцатикратной суммы взятки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PrEx>
        <w:trPr>
          <w:tblCellSpacing w:w="0" w:type="dxa"/>
        </w:trPr>
        <w:tc>
          <w:tcPr>
            <w:tcW w:w="3740"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Совершение преступления: группой лиц по предварительному сговору или организованной группой; в крупном размере (свыше 150 тысяч руб.)</w:t>
            </w:r>
          </w:p>
        </w:tc>
        <w:tc>
          <w:tcPr>
            <w:tcW w:w="4912"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от пяти до десяти лет со штрафом в размере шестидесятикратной суммы взятки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PrEx>
        <w:trPr>
          <w:tblCellSpacing w:w="0" w:type="dxa"/>
        </w:trPr>
        <w:tc>
          <w:tcPr>
            <w:tcW w:w="3740"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Совершение преступления в особо крупном размере (свыше одного миллиона рублей)</w:t>
            </w:r>
          </w:p>
        </w:tc>
        <w:tc>
          <w:tcPr>
            <w:tcW w:w="4912"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штраф в размере от семидесятикратной до девяностократной суммы взятки либо лишение свободы на срок от семи до двенадцати лет со штрафом в размере семидесятикратной суммы взятки</w:t>
            </w:r>
          </w:p>
        </w:tc>
      </w:tr>
    </w:tbl>
    <w:p>
      <w:pPr>
        <w:pStyle w:val="13"/>
        <w:widowControl/>
        <w:shd w:val="clear" w:color="auto" w:fill="FFFFFF"/>
        <w:spacing w:before="30" w:beforeAutospacing="0" w:after="30" w:afterAutospacing="0" w:line="240" w:lineRule="auto"/>
        <w:ind w:left="0" w:firstLine="0"/>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color="auto" w:fill="FFFFFF"/>
        </w:rPr>
        <w:t> </w:t>
      </w:r>
    </w:p>
    <w:p>
      <w:pPr>
        <w:pStyle w:val="13"/>
        <w:widowControl/>
        <w:shd w:val="clear" w:color="auto" w:fill="FFFFFF"/>
        <w:spacing w:before="30" w:beforeAutospacing="0" w:after="30" w:afterAutospacing="0" w:line="240" w:lineRule="auto"/>
        <w:ind w:left="0" w:firstLine="0"/>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color="auto" w:fill="FFFFFF"/>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pPr>
        <w:pStyle w:val="13"/>
        <w:widowControl/>
        <w:shd w:val="clear" w:color="auto" w:fill="FFFFFF"/>
        <w:spacing w:before="30" w:beforeAutospacing="0" w:after="30" w:afterAutospacing="0" w:line="240" w:lineRule="auto"/>
        <w:ind w:left="0" w:firstLine="0"/>
        <w:jc w:val="center"/>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i w:val="0"/>
          <w:caps w:val="0"/>
          <w:color w:val="000000"/>
          <w:spacing w:val="0"/>
          <w:sz w:val="24"/>
          <w:szCs w:val="24"/>
          <w:u w:val="single"/>
          <w:shd w:val="clear" w:color="auto" w:fill="FFFFFF"/>
        </w:rPr>
        <w:t>Статья 291.1. Посредничество во взяточничестве</w:t>
      </w:r>
    </w:p>
    <w:tbl>
      <w:tblPr>
        <w:tblW w:w="8652" w:type="dxa"/>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841"/>
        <w:gridCol w:w="481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PrEx>
        <w:trPr>
          <w:tblCellSpacing w:w="0" w:type="dxa"/>
        </w:trPr>
        <w:tc>
          <w:tcPr>
            <w:tcW w:w="3841"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b/>
                <w:sz w:val="24"/>
                <w:szCs w:val="24"/>
              </w:rPr>
              <w:t>Преступление</w:t>
            </w:r>
          </w:p>
        </w:tc>
        <w:tc>
          <w:tcPr>
            <w:tcW w:w="4811"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b/>
                <w:sz w:val="24"/>
                <w:szCs w:val="24"/>
              </w:rPr>
              <w:t>Наказание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PrEx>
        <w:trPr>
          <w:tblCellSpacing w:w="0" w:type="dxa"/>
        </w:trPr>
        <w:tc>
          <w:tcPr>
            <w:tcW w:w="3841"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w:t>
            </w:r>
            <w:r>
              <w:rPr>
                <w:rFonts w:hint="default" w:ascii="Times New Roman" w:hAnsi="Times New Roman" w:cs="Times New Roman"/>
                <w:b/>
                <w:color w:val="FFB739"/>
                <w:sz w:val="24"/>
                <w:szCs w:val="24"/>
              </w:rPr>
              <w:fldChar w:fldCharType="begin"/>
            </w:r>
            <w:r>
              <w:rPr>
                <w:rFonts w:hint="default" w:ascii="Times New Roman" w:hAnsi="Times New Roman" w:cs="Times New Roman"/>
                <w:b/>
                <w:color w:val="FFB739"/>
                <w:sz w:val="24"/>
                <w:szCs w:val="24"/>
              </w:rPr>
              <w:instrText xml:space="preserve"> HYPERLINK "consultantplus://offline/ref=3CBEC6DBE2D05D7054A2FAD025472E4C3206BEDDA3C74B268751023726A380F2C7C5B0E92FRDn7K" </w:instrText>
            </w:r>
            <w:r>
              <w:rPr>
                <w:rFonts w:hint="default" w:ascii="Times New Roman" w:hAnsi="Times New Roman" w:cs="Times New Roman"/>
                <w:b/>
                <w:color w:val="FFB739"/>
                <w:sz w:val="24"/>
                <w:szCs w:val="24"/>
              </w:rPr>
              <w:fldChar w:fldCharType="separate"/>
            </w:r>
            <w:r>
              <w:rPr>
                <w:rStyle w:val="15"/>
                <w:rFonts w:hint="default" w:ascii="Times New Roman" w:hAnsi="Times New Roman" w:cs="Times New Roman"/>
                <w:b/>
                <w:color w:val="FFB739"/>
                <w:sz w:val="24"/>
                <w:szCs w:val="24"/>
              </w:rPr>
              <w:t>значительном размере</w:t>
            </w:r>
            <w:r>
              <w:rPr>
                <w:rFonts w:hint="default" w:ascii="Times New Roman" w:hAnsi="Times New Roman" w:cs="Times New Roman"/>
                <w:b/>
                <w:color w:val="FFB739"/>
                <w:sz w:val="24"/>
                <w:szCs w:val="24"/>
              </w:rPr>
              <w:fldChar w:fldCharType="end"/>
            </w:r>
            <w:r>
              <w:rPr>
                <w:rFonts w:hint="default" w:ascii="Times New Roman" w:hAnsi="Times New Roman" w:cs="Times New Roman"/>
                <w:sz w:val="24"/>
                <w:szCs w:val="24"/>
              </w:rPr>
              <w:t> (сумма денег, стоимость ценных бумаг, иного имущества, услуг имущественного характера, иных имущественных прав, превышает 25 тысяч рублей)</w:t>
            </w:r>
          </w:p>
        </w:tc>
        <w:tc>
          <w:tcPr>
            <w:tcW w:w="4811"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до пяти лет со штрафом в размере двадцатикратной суммы взятки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PrEx>
        <w:trPr>
          <w:tblCellSpacing w:w="0" w:type="dxa"/>
        </w:trPr>
        <w:tc>
          <w:tcPr>
            <w:tcW w:w="3841"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811"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от трех до семи лет со штрафом в размере тридцатикратной суммы взятки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PrEx>
        <w:trPr>
          <w:tblCellSpacing w:w="0" w:type="dxa"/>
        </w:trPr>
        <w:tc>
          <w:tcPr>
            <w:tcW w:w="3841"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Посредничество во взяточничестве, совершенное: группой лиц по предварительному сговору или организованной группой; в </w:t>
            </w:r>
            <w:r>
              <w:rPr>
                <w:rFonts w:hint="default" w:ascii="Times New Roman" w:hAnsi="Times New Roman" w:cs="Times New Roman"/>
                <w:b/>
                <w:color w:val="FFB739"/>
                <w:sz w:val="24"/>
                <w:szCs w:val="24"/>
              </w:rPr>
              <w:fldChar w:fldCharType="begin"/>
            </w:r>
            <w:r>
              <w:rPr>
                <w:rFonts w:hint="default" w:ascii="Times New Roman" w:hAnsi="Times New Roman" w:cs="Times New Roman"/>
                <w:b/>
                <w:color w:val="FFB739"/>
                <w:sz w:val="24"/>
                <w:szCs w:val="24"/>
              </w:rPr>
              <w:instrText xml:space="preserve"> HYPERLINK "consultantplus://offline/ref=3CBEC6DBE2D05D7054A2FAD025472E4C3206BEDDA3C74B268751023726A380F2C7C5B0E92FRDn7K" </w:instrText>
            </w:r>
            <w:r>
              <w:rPr>
                <w:rFonts w:hint="default" w:ascii="Times New Roman" w:hAnsi="Times New Roman" w:cs="Times New Roman"/>
                <w:b/>
                <w:color w:val="FFB739"/>
                <w:sz w:val="24"/>
                <w:szCs w:val="24"/>
              </w:rPr>
              <w:fldChar w:fldCharType="separate"/>
            </w:r>
            <w:r>
              <w:rPr>
                <w:rStyle w:val="15"/>
                <w:rFonts w:hint="default" w:ascii="Times New Roman" w:hAnsi="Times New Roman" w:cs="Times New Roman"/>
                <w:b/>
                <w:color w:val="FFB739"/>
                <w:sz w:val="24"/>
                <w:szCs w:val="24"/>
              </w:rPr>
              <w:t>крупном размере</w:t>
            </w:r>
            <w:r>
              <w:rPr>
                <w:rFonts w:hint="default" w:ascii="Times New Roman" w:hAnsi="Times New Roman" w:cs="Times New Roman"/>
                <w:b/>
                <w:color w:val="FFB739"/>
                <w:sz w:val="24"/>
                <w:szCs w:val="24"/>
              </w:rPr>
              <w:fldChar w:fldCharType="end"/>
            </w:r>
            <w:r>
              <w:rPr>
                <w:rFonts w:hint="default" w:ascii="Times New Roman" w:hAnsi="Times New Roman" w:cs="Times New Roman"/>
                <w:sz w:val="24"/>
                <w:szCs w:val="24"/>
              </w:rPr>
              <w:t>(свыше 150 тысяч руб.)</w:t>
            </w:r>
          </w:p>
        </w:tc>
        <w:tc>
          <w:tcPr>
            <w:tcW w:w="4811"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от семи до двенадцати лет со штрафом в размере шестидесятикратной суммы взятки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PrEx>
        <w:trPr>
          <w:tblCellSpacing w:w="0" w:type="dxa"/>
        </w:trPr>
        <w:tc>
          <w:tcPr>
            <w:tcW w:w="3841"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Посредничество во взяточничестве, совершенное в </w:t>
            </w:r>
            <w:r>
              <w:rPr>
                <w:rFonts w:hint="default" w:ascii="Times New Roman" w:hAnsi="Times New Roman" w:cs="Times New Roman"/>
                <w:b/>
                <w:color w:val="FFB739"/>
                <w:sz w:val="24"/>
                <w:szCs w:val="24"/>
              </w:rPr>
              <w:fldChar w:fldCharType="begin"/>
            </w:r>
            <w:r>
              <w:rPr>
                <w:rFonts w:hint="default" w:ascii="Times New Roman" w:hAnsi="Times New Roman" w:cs="Times New Roman"/>
                <w:b/>
                <w:color w:val="FFB739"/>
                <w:sz w:val="24"/>
                <w:szCs w:val="24"/>
              </w:rPr>
              <w:instrText xml:space="preserve"> HYPERLINK "consultantplus://offline/ref=3CBEC6DBE2D05D7054A2FAD025472E4C3206BEDDA3C74B268751023726A380F2C7C5B0E92FRDn7K" </w:instrText>
            </w:r>
            <w:r>
              <w:rPr>
                <w:rFonts w:hint="default" w:ascii="Times New Roman" w:hAnsi="Times New Roman" w:cs="Times New Roman"/>
                <w:b/>
                <w:color w:val="FFB739"/>
                <w:sz w:val="24"/>
                <w:szCs w:val="24"/>
              </w:rPr>
              <w:fldChar w:fldCharType="separate"/>
            </w:r>
            <w:r>
              <w:rPr>
                <w:rStyle w:val="15"/>
                <w:rFonts w:hint="default" w:ascii="Times New Roman" w:hAnsi="Times New Roman" w:cs="Times New Roman"/>
                <w:b/>
                <w:color w:val="FFB739"/>
                <w:sz w:val="24"/>
                <w:szCs w:val="24"/>
              </w:rPr>
              <w:t>особо крупном размере</w:t>
            </w:r>
            <w:r>
              <w:rPr>
                <w:rFonts w:hint="default" w:ascii="Times New Roman" w:hAnsi="Times New Roman" w:cs="Times New Roman"/>
                <w:b/>
                <w:color w:val="FFB739"/>
                <w:sz w:val="24"/>
                <w:szCs w:val="24"/>
              </w:rPr>
              <w:fldChar w:fldCharType="end"/>
            </w:r>
            <w:r>
              <w:rPr>
                <w:rFonts w:hint="default" w:ascii="Times New Roman" w:hAnsi="Times New Roman" w:cs="Times New Roman"/>
                <w:sz w:val="24"/>
                <w:szCs w:val="24"/>
              </w:rPr>
              <w:t>(свыше одного миллиона рублей)</w:t>
            </w:r>
          </w:p>
        </w:tc>
        <w:tc>
          <w:tcPr>
            <w:tcW w:w="4811"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от семи до двенадцати лет со штрафом в размере семидесятикратной суммы взятки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PrEx>
        <w:trPr>
          <w:tblCellSpacing w:w="0" w:type="dxa"/>
        </w:trPr>
        <w:tc>
          <w:tcPr>
            <w:tcW w:w="3841"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Обещание или предложение посредничества во взяточничестве</w:t>
            </w:r>
          </w:p>
        </w:tc>
        <w:tc>
          <w:tcPr>
            <w:tcW w:w="4811"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штраф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 свободы на срок до семи лет со штрафом в размере от десятикратной до шестидесятикратной суммы взятки</w:t>
            </w:r>
          </w:p>
        </w:tc>
      </w:tr>
    </w:tbl>
    <w:p>
      <w:pPr>
        <w:pStyle w:val="13"/>
        <w:widowControl/>
        <w:shd w:val="clear" w:color="auto" w:fill="FFFFFF"/>
        <w:spacing w:before="30" w:beforeAutospacing="0" w:after="30" w:afterAutospacing="0" w:line="240" w:lineRule="auto"/>
        <w:ind w:left="0" w:firstLine="0"/>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color="auto" w:fill="FFFFFF"/>
        </w:rPr>
        <w:t> </w:t>
      </w:r>
    </w:p>
    <w:p>
      <w:pPr>
        <w:pStyle w:val="13"/>
        <w:widowControl/>
        <w:shd w:val="clear" w:color="auto" w:fill="FFFFFF"/>
        <w:spacing w:before="30" w:beforeAutospacing="0" w:after="30" w:afterAutospacing="0" w:line="240" w:lineRule="auto"/>
        <w:ind w:left="0" w:firstLine="0"/>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color="auto" w:fill="FFFFFF"/>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r>
        <w:rPr>
          <w:rFonts w:hint="default" w:ascii="Times New Roman" w:hAnsi="Times New Roman" w:cs="Times New Roman"/>
          <w:b/>
          <w:i w:val="0"/>
          <w:caps w:val="0"/>
          <w:color w:val="FFB739"/>
          <w:spacing w:val="0"/>
          <w:sz w:val="24"/>
          <w:szCs w:val="24"/>
          <w:shd w:val="clear" w:color="auto" w:fill="FFFFFF"/>
        </w:rPr>
        <w:fldChar w:fldCharType="begin"/>
      </w:r>
      <w:r>
        <w:rPr>
          <w:rFonts w:hint="default" w:ascii="Times New Roman" w:hAnsi="Times New Roman" w:cs="Times New Roman"/>
          <w:b/>
          <w:i w:val="0"/>
          <w:caps w:val="0"/>
          <w:color w:val="FFB739"/>
          <w:spacing w:val="0"/>
          <w:sz w:val="24"/>
          <w:szCs w:val="24"/>
          <w:shd w:val="clear" w:color="auto" w:fill="FFFFFF"/>
        </w:rPr>
        <w:instrText xml:space="preserve"> HYPERLINK "consultantplus://offline/ref=3CBEC6DBE2D05D7054A2FAD025472E4C3206BEDAAFC14B268751023726A380F2C7C5B0EC27D5925BRAnEK" </w:instrText>
      </w:r>
      <w:r>
        <w:rPr>
          <w:rFonts w:hint="default" w:ascii="Times New Roman" w:hAnsi="Times New Roman" w:cs="Times New Roman"/>
          <w:b/>
          <w:i w:val="0"/>
          <w:caps w:val="0"/>
          <w:color w:val="FFB739"/>
          <w:spacing w:val="0"/>
          <w:sz w:val="24"/>
          <w:szCs w:val="24"/>
          <w:shd w:val="clear" w:color="auto" w:fill="FFFFFF"/>
        </w:rPr>
        <w:fldChar w:fldCharType="separate"/>
      </w:r>
      <w:r>
        <w:rPr>
          <w:rStyle w:val="15"/>
          <w:rFonts w:hint="default" w:ascii="Times New Roman" w:hAnsi="Times New Roman" w:cs="Times New Roman"/>
          <w:b/>
          <w:i w:val="0"/>
          <w:caps w:val="0"/>
          <w:color w:val="FFB739"/>
          <w:spacing w:val="0"/>
          <w:sz w:val="24"/>
          <w:szCs w:val="24"/>
          <w:shd w:val="clear" w:color="auto" w:fill="FFFFFF"/>
        </w:rPr>
        <w:t>добровольно</w:t>
      </w:r>
      <w:r>
        <w:rPr>
          <w:rFonts w:hint="default" w:ascii="Times New Roman" w:hAnsi="Times New Roman" w:cs="Times New Roman"/>
          <w:b/>
          <w:i w:val="0"/>
          <w:caps w:val="0"/>
          <w:color w:val="FFB739"/>
          <w:spacing w:val="0"/>
          <w:sz w:val="24"/>
          <w:szCs w:val="24"/>
          <w:shd w:val="clear" w:color="auto" w:fill="FFFFFF"/>
        </w:rPr>
        <w:fldChar w:fldCharType="end"/>
      </w:r>
      <w:r>
        <w:rPr>
          <w:rFonts w:hint="default" w:ascii="Times New Roman" w:hAnsi="Times New Roman" w:cs="Times New Roman"/>
          <w:b w:val="0"/>
          <w:i w:val="0"/>
          <w:caps w:val="0"/>
          <w:color w:val="000000"/>
          <w:spacing w:val="0"/>
          <w:sz w:val="24"/>
          <w:szCs w:val="24"/>
          <w:shd w:val="clear" w:color="auto" w:fill="FFFFFF"/>
        </w:rPr>
        <w:t> сообщило органу, имеющему право возбудить уголовное дело, о посредничестве во взяточничестве.</w:t>
      </w:r>
    </w:p>
    <w:p>
      <w:pPr>
        <w:pStyle w:val="13"/>
        <w:widowControl/>
        <w:shd w:val="clear" w:color="auto" w:fill="FFFFFF"/>
        <w:spacing w:before="30" w:beforeAutospacing="0" w:after="30" w:afterAutospacing="0" w:line="240" w:lineRule="auto"/>
        <w:ind w:left="0" w:firstLine="0"/>
        <w:jc w:val="center"/>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i w:val="0"/>
          <w:caps w:val="0"/>
          <w:color w:val="000000"/>
          <w:spacing w:val="0"/>
          <w:sz w:val="24"/>
          <w:szCs w:val="24"/>
          <w:u w:val="single"/>
          <w:shd w:val="clear" w:color="auto" w:fill="FFFFFF"/>
        </w:rPr>
        <w:t>Статья 204. Коммерческий подкуп</w:t>
      </w:r>
    </w:p>
    <w:tbl>
      <w:tblPr>
        <w:tblW w:w="8652" w:type="dxa"/>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811"/>
        <w:gridCol w:w="92"/>
        <w:gridCol w:w="4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PrEx>
        <w:trPr>
          <w:tblCellSpacing w:w="0" w:type="dxa"/>
        </w:trPr>
        <w:tc>
          <w:tcPr>
            <w:tcW w:w="3811"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b/>
                <w:sz w:val="24"/>
                <w:szCs w:val="24"/>
              </w:rPr>
              <w:t>Преступление</w:t>
            </w:r>
          </w:p>
        </w:tc>
        <w:tc>
          <w:tcPr>
            <w:tcW w:w="4841" w:type="dxa"/>
            <w:gridSpan w:val="2"/>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b/>
                <w:sz w:val="24"/>
                <w:szCs w:val="24"/>
              </w:rPr>
              <w:t>Наказание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PrEx>
        <w:trPr>
          <w:tblCellSpacing w:w="0" w:type="dxa"/>
        </w:trPr>
        <w:tc>
          <w:tcPr>
            <w:tcW w:w="3811"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Незаконные передача лицу,</w:t>
            </w:r>
            <w:r>
              <w:rPr>
                <w:rFonts w:hint="default" w:ascii="Times New Roman" w:hAnsi="Times New Roman" w:cs="Times New Roman"/>
                <w:b/>
                <w:color w:val="FFB739"/>
                <w:sz w:val="24"/>
                <w:szCs w:val="24"/>
              </w:rPr>
              <w:fldChar w:fldCharType="begin"/>
            </w:r>
            <w:r>
              <w:rPr>
                <w:rFonts w:hint="default" w:ascii="Times New Roman" w:hAnsi="Times New Roman" w:cs="Times New Roman"/>
                <w:b/>
                <w:color w:val="FFB739"/>
                <w:sz w:val="24"/>
                <w:szCs w:val="24"/>
              </w:rPr>
              <w:instrText xml:space="preserve"> HYPERLINK "consultantplus://offline/ref=10F4BD29621371BC973960661D461515BAB73176A179AAFECFE8BFE020297ACE757F423D250C4636g5dAK" </w:instrText>
            </w:r>
            <w:r>
              <w:rPr>
                <w:rFonts w:hint="default" w:ascii="Times New Roman" w:hAnsi="Times New Roman" w:cs="Times New Roman"/>
                <w:b/>
                <w:color w:val="FFB739"/>
                <w:sz w:val="24"/>
                <w:szCs w:val="24"/>
              </w:rPr>
              <w:fldChar w:fldCharType="separate"/>
            </w:r>
            <w:r>
              <w:rPr>
                <w:rStyle w:val="15"/>
                <w:rFonts w:hint="default" w:ascii="Times New Roman" w:hAnsi="Times New Roman" w:cs="Times New Roman"/>
                <w:b/>
                <w:color w:val="FFB739"/>
                <w:sz w:val="24"/>
                <w:szCs w:val="24"/>
              </w:rPr>
              <w:t>выполняющему</w:t>
            </w:r>
            <w:r>
              <w:rPr>
                <w:rFonts w:hint="default" w:ascii="Times New Roman" w:hAnsi="Times New Roman" w:cs="Times New Roman"/>
                <w:b/>
                <w:color w:val="FFB739"/>
                <w:sz w:val="24"/>
                <w:szCs w:val="24"/>
              </w:rPr>
              <w:fldChar w:fldCharType="end"/>
            </w:r>
            <w:r>
              <w:rPr>
                <w:rFonts w:hint="default" w:ascii="Times New Roman" w:hAnsi="Times New Roman" w:cs="Times New Roman"/>
                <w:sz w:val="24"/>
                <w:szCs w:val="24"/>
              </w:rPr>
              <w:t>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 </w:t>
            </w:r>
          </w:p>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Если деяния совершены:</w:t>
            </w:r>
          </w:p>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группой лиц по предварительному сговору или организованной группой;</w:t>
            </w:r>
          </w:p>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за заведомо незаконные действия (бездействие)</w:t>
            </w:r>
          </w:p>
        </w:tc>
        <w:tc>
          <w:tcPr>
            <w:tcW w:w="4841" w:type="dxa"/>
            <w:gridSpan w:val="2"/>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штраф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 свободы на срок до двух лет, либо принудительные работы на срок до трех лет, либо лишение свободы на тот же срок</w:t>
            </w:r>
          </w:p>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 </w:t>
            </w:r>
          </w:p>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 </w:t>
            </w:r>
          </w:p>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 </w:t>
            </w:r>
          </w:p>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штраф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принудительные работы на срок до четырех лет, либо арест на срок от трех до шести месяцев, либо лишение свободы на срок до шести лет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PrEx>
        <w:trPr>
          <w:tblCellSpacing w:w="0" w:type="dxa"/>
        </w:trPr>
        <w:tc>
          <w:tcPr>
            <w:tcW w:w="8652" w:type="dxa"/>
            <w:gridSpan w:val="3"/>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Примечание. Лицо, совершившее вышеуказанные деяния,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r>
              <w:rPr>
                <w:rFonts w:hint="default" w:ascii="Times New Roman" w:hAnsi="Times New Roman" w:cs="Times New Roman"/>
                <w:b/>
                <w:color w:val="FFB739"/>
                <w:sz w:val="24"/>
                <w:szCs w:val="24"/>
              </w:rPr>
              <w:fldChar w:fldCharType="begin"/>
            </w:r>
            <w:r>
              <w:rPr>
                <w:rFonts w:hint="default" w:ascii="Times New Roman" w:hAnsi="Times New Roman" w:cs="Times New Roman"/>
                <w:b/>
                <w:color w:val="FFB739"/>
                <w:sz w:val="24"/>
                <w:szCs w:val="24"/>
              </w:rPr>
              <w:instrText xml:space="preserve"> HYPERLINK "consultantplus://offline/ref=10F4BD29621371BC973960661D461515BAB73171AD7FAAFECFE8BFE020297ACE757F423D250F4532g5dCK" </w:instrText>
            </w:r>
            <w:r>
              <w:rPr>
                <w:rFonts w:hint="default" w:ascii="Times New Roman" w:hAnsi="Times New Roman" w:cs="Times New Roman"/>
                <w:b/>
                <w:color w:val="FFB739"/>
                <w:sz w:val="24"/>
                <w:szCs w:val="24"/>
              </w:rPr>
              <w:fldChar w:fldCharType="separate"/>
            </w:r>
            <w:r>
              <w:rPr>
                <w:rStyle w:val="15"/>
                <w:rFonts w:hint="default" w:ascii="Times New Roman" w:hAnsi="Times New Roman" w:cs="Times New Roman"/>
                <w:b/>
                <w:color w:val="FFB739"/>
                <w:sz w:val="24"/>
                <w:szCs w:val="24"/>
              </w:rPr>
              <w:t>добровольно</w:t>
            </w:r>
            <w:r>
              <w:rPr>
                <w:rFonts w:hint="default" w:ascii="Times New Roman" w:hAnsi="Times New Roman" w:cs="Times New Roman"/>
                <w:b/>
                <w:color w:val="FFB739"/>
                <w:sz w:val="24"/>
                <w:szCs w:val="24"/>
              </w:rPr>
              <w:fldChar w:fldCharType="end"/>
            </w:r>
            <w:r>
              <w:rPr>
                <w:rFonts w:hint="default" w:ascii="Times New Roman" w:hAnsi="Times New Roman" w:cs="Times New Roman"/>
                <w:sz w:val="24"/>
                <w:szCs w:val="24"/>
              </w:rPr>
              <w:t>сообщило о подкупе органу, имеющему право возбудить уголовное дело.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PrEx>
        <w:trPr>
          <w:tblCellSpacing w:w="0" w:type="dxa"/>
        </w:trPr>
        <w:tc>
          <w:tcPr>
            <w:tcW w:w="3903" w:type="dxa"/>
            <w:gridSpan w:val="2"/>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w:t>
            </w:r>
          </w:p>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 </w:t>
            </w:r>
          </w:p>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 </w:t>
            </w:r>
          </w:p>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 </w:t>
            </w:r>
          </w:p>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Если деяния:</w:t>
            </w:r>
          </w:p>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совершены группой лиц по предварительному сговору или организованной группой;</w:t>
            </w:r>
          </w:p>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сопряжены с вымогательством предмета подкупа;</w:t>
            </w:r>
          </w:p>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совершены за незаконные действия (бездействие)</w:t>
            </w:r>
          </w:p>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 </w:t>
            </w:r>
          </w:p>
        </w:tc>
        <w:tc>
          <w:tcPr>
            <w:tcW w:w="4749"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штраф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семи лет со штрафом в размере до сорокакратной суммы коммерческого подкупа</w:t>
            </w:r>
          </w:p>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 </w:t>
            </w:r>
          </w:p>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штраф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 свободы на срок до двенадцати лет со штрафом в размере до пятидесятикратной суммы коммерческого подкупа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PrEx>
        <w:trPr>
          <w:tblCellSpacing w:w="0" w:type="dxa"/>
        </w:trPr>
        <w:tc>
          <w:tcPr>
            <w:tcW w:w="3811"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 </w:t>
            </w:r>
          </w:p>
        </w:tc>
        <w:tc>
          <w:tcPr>
            <w:tcW w:w="92"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 </w:t>
            </w:r>
          </w:p>
        </w:tc>
        <w:tc>
          <w:tcPr>
            <w:tcW w:w="4749"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 </w:t>
            </w:r>
          </w:p>
        </w:tc>
      </w:tr>
    </w:tbl>
    <w:p>
      <w:pPr>
        <w:pStyle w:val="13"/>
        <w:widowControl/>
        <w:shd w:val="clear" w:color="auto" w:fill="FFFFFF"/>
        <w:spacing w:before="30" w:beforeAutospacing="0" w:after="30" w:afterAutospacing="0" w:line="240" w:lineRule="auto"/>
        <w:ind w:left="0" w:firstLine="0"/>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color="auto" w:fill="FFFFFF"/>
        </w:rPr>
        <w:t> </w:t>
      </w:r>
    </w:p>
    <w:p>
      <w:pPr>
        <w:pStyle w:val="13"/>
        <w:widowControl/>
        <w:shd w:val="clear" w:color="auto" w:fill="FFFFFF"/>
        <w:spacing w:before="30" w:beforeAutospacing="0" w:after="30" w:afterAutospacing="0" w:line="240" w:lineRule="auto"/>
        <w:ind w:left="0" w:firstLine="0"/>
        <w:jc w:val="center"/>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i w:val="0"/>
          <w:caps w:val="0"/>
          <w:color w:val="000000"/>
          <w:spacing w:val="0"/>
          <w:sz w:val="24"/>
          <w:szCs w:val="24"/>
          <w:u w:val="single"/>
          <w:shd w:val="clear" w:color="auto" w:fill="FFFFFF"/>
        </w:rPr>
        <w:t>Статья 304. Провокация взятки либо коммерческого подкупа</w:t>
      </w:r>
    </w:p>
    <w:tbl>
      <w:tblPr>
        <w:tblW w:w="8652" w:type="dxa"/>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969"/>
        <w:gridCol w:w="468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PrEx>
        <w:trPr>
          <w:tblCellSpacing w:w="0" w:type="dxa"/>
        </w:trPr>
        <w:tc>
          <w:tcPr>
            <w:tcW w:w="3969"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b/>
                <w:sz w:val="24"/>
                <w:szCs w:val="24"/>
              </w:rPr>
              <w:t>Преступление</w:t>
            </w:r>
          </w:p>
        </w:tc>
        <w:tc>
          <w:tcPr>
            <w:tcW w:w="4683"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b/>
                <w:sz w:val="24"/>
                <w:szCs w:val="24"/>
              </w:rPr>
              <w:t>Наказание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PrEx>
        <w:trPr>
          <w:tblCellSpacing w:w="0" w:type="dxa"/>
        </w:trPr>
        <w:tc>
          <w:tcPr>
            <w:tcW w:w="3969"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b/>
                <w:color w:val="FFB739"/>
                <w:sz w:val="24"/>
                <w:szCs w:val="24"/>
              </w:rPr>
              <w:fldChar w:fldCharType="begin"/>
            </w:r>
            <w:r>
              <w:rPr>
                <w:rFonts w:hint="default" w:ascii="Times New Roman" w:hAnsi="Times New Roman" w:cs="Times New Roman"/>
                <w:b/>
                <w:color w:val="FFB739"/>
                <w:sz w:val="24"/>
                <w:szCs w:val="24"/>
              </w:rPr>
              <w:instrText xml:space="preserve"> HYPERLINK "consultantplus://offline/ref=AB75C11509224F0D55E788483B198B411129DCE515388911A29401A04085857D299ABC594BD2DE15YEo5K" </w:instrText>
            </w:r>
            <w:r>
              <w:rPr>
                <w:rFonts w:hint="default" w:ascii="Times New Roman" w:hAnsi="Times New Roman" w:cs="Times New Roman"/>
                <w:b/>
                <w:color w:val="FFB739"/>
                <w:sz w:val="24"/>
                <w:szCs w:val="24"/>
              </w:rPr>
              <w:fldChar w:fldCharType="separate"/>
            </w:r>
            <w:r>
              <w:rPr>
                <w:rStyle w:val="15"/>
                <w:rFonts w:hint="default" w:ascii="Times New Roman" w:hAnsi="Times New Roman" w:cs="Times New Roman"/>
                <w:b/>
                <w:color w:val="FFB739"/>
                <w:sz w:val="24"/>
                <w:szCs w:val="24"/>
              </w:rPr>
              <w:t>Провокация взятки</w:t>
            </w:r>
            <w:r>
              <w:rPr>
                <w:rFonts w:hint="default" w:ascii="Times New Roman" w:hAnsi="Times New Roman" w:cs="Times New Roman"/>
                <w:b/>
                <w:color w:val="FFB739"/>
                <w:sz w:val="24"/>
                <w:szCs w:val="24"/>
              </w:rPr>
              <w:fldChar w:fldCharType="end"/>
            </w:r>
            <w:r>
              <w:rPr>
                <w:rFonts w:hint="default" w:ascii="Times New Roman" w:hAnsi="Times New Roman" w:cs="Times New Roman"/>
                <w:sz w:val="24"/>
                <w:szCs w:val="24"/>
              </w:rPr>
              <w:t>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tc>
        <w:tc>
          <w:tcPr>
            <w:tcW w:w="4683"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штраф в размере до двухсот тысяч рублей ил</w:t>
            </w:r>
            <w:bookmarkStart w:id="0" w:name="_GoBack"/>
            <w:bookmarkEnd w:id="0"/>
            <w:r>
              <w:rPr>
                <w:rFonts w:hint="default" w:ascii="Times New Roman" w:hAnsi="Times New Roman" w:cs="Times New Roman"/>
                <w:sz w:val="24"/>
                <w:szCs w:val="24"/>
              </w:rPr>
              <w:t>и в размере заработной платы или иного дохода осужденного за период до восемнадцати месяцев,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tc>
      </w:tr>
    </w:tbl>
    <w:p>
      <w:pPr>
        <w:pStyle w:val="13"/>
        <w:widowControl/>
        <w:shd w:val="clear" w:color="auto" w:fill="FFFFFF"/>
        <w:spacing w:before="30" w:beforeAutospacing="0" w:after="30" w:afterAutospacing="0" w:line="240" w:lineRule="auto"/>
        <w:ind w:left="0" w:firstLine="0"/>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color="auto" w:fill="FFFFFF"/>
        </w:rPr>
        <w:t> </w:t>
      </w:r>
    </w:p>
    <w:p>
      <w:pPr>
        <w:pStyle w:val="13"/>
        <w:widowControl/>
        <w:shd w:val="clear" w:color="auto" w:fill="FFFFFF"/>
        <w:spacing w:before="30" w:beforeAutospacing="0" w:after="30" w:afterAutospacing="0" w:line="240" w:lineRule="auto"/>
        <w:ind w:left="0" w:firstLine="0"/>
        <w:jc w:val="center"/>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i w:val="0"/>
          <w:caps w:val="0"/>
          <w:color w:val="000000"/>
          <w:spacing w:val="0"/>
          <w:sz w:val="24"/>
          <w:szCs w:val="24"/>
          <w:u w:val="single"/>
          <w:shd w:val="clear" w:color="auto" w:fill="FFFFFF"/>
        </w:rPr>
        <w:t>Статья 19.28. Незаконное вознаграждение от имени юридического лица</w:t>
      </w:r>
      <w:r>
        <w:rPr>
          <w:rFonts w:hint="default" w:ascii="Times New Roman" w:hAnsi="Times New Roman" w:cs="Times New Roman"/>
          <w:b w:val="0"/>
          <w:i w:val="0"/>
          <w:caps w:val="0"/>
          <w:color w:val="000000"/>
          <w:spacing w:val="0"/>
          <w:sz w:val="24"/>
          <w:szCs w:val="24"/>
          <w:shd w:val="clear" w:color="auto" w:fill="FFFFFF"/>
        </w:rPr>
        <w:br/>
      </w:r>
      <w:r>
        <w:rPr>
          <w:rFonts w:hint="default" w:ascii="Times New Roman" w:hAnsi="Times New Roman" w:cs="Times New Roman"/>
          <w:b/>
          <w:i w:val="0"/>
          <w:caps w:val="0"/>
          <w:color w:val="000000"/>
          <w:spacing w:val="0"/>
          <w:sz w:val="24"/>
          <w:szCs w:val="24"/>
          <w:u w:val="single"/>
          <w:shd w:val="clear" w:color="auto" w:fill="FFFFFF"/>
        </w:rPr>
        <w:t>Кодекс Российской Федерации об административных правонарушениях</w:t>
      </w:r>
    </w:p>
    <w:tbl>
      <w:tblPr>
        <w:tblW w:w="8652" w:type="dxa"/>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136"/>
        <w:gridCol w:w="451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trPr>
        <w:tc>
          <w:tcPr>
            <w:tcW w:w="4136"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b/>
                <w:sz w:val="24"/>
                <w:szCs w:val="24"/>
              </w:rPr>
              <w:t>Правонарушение</w:t>
            </w:r>
          </w:p>
        </w:tc>
        <w:tc>
          <w:tcPr>
            <w:tcW w:w="4516"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b/>
                <w:sz w:val="24"/>
                <w:szCs w:val="24"/>
              </w:rPr>
              <w:t>Наказание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PrEx>
        <w:trPr>
          <w:tblCellSpacing w:w="0" w:type="dxa"/>
        </w:trPr>
        <w:tc>
          <w:tcPr>
            <w:tcW w:w="4136"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 служебным положением</w:t>
            </w:r>
          </w:p>
        </w:tc>
        <w:tc>
          <w:tcPr>
            <w:tcW w:w="4516"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PrEx>
        <w:trPr>
          <w:tblCellSpacing w:w="0" w:type="dxa"/>
        </w:trPr>
        <w:tc>
          <w:tcPr>
            <w:tcW w:w="4136"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Действия, совершенные в крупном размере (сумма денег, стоимость ценных бумаг, иного имущества, услуг имущественного характера, иных имущественных прав, превышающие один миллион рублей)</w:t>
            </w:r>
          </w:p>
        </w:tc>
        <w:tc>
          <w:tcPr>
            <w:tcW w:w="4516"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PrEx>
        <w:trPr>
          <w:tblCellSpacing w:w="0" w:type="dxa"/>
        </w:trPr>
        <w:tc>
          <w:tcPr>
            <w:tcW w:w="4136"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Действия, совершенные в особо крупном размере (сумма денег, стоимость ценных бумаг, иного имущества, услуг имущественного характера, иных имущественных прав, превышающие двадцать миллионов рублей)</w:t>
            </w:r>
          </w:p>
        </w:tc>
        <w:tc>
          <w:tcPr>
            <w:tcW w:w="4516" w:type="dxa"/>
            <w:shd w:val="clear" w:color="auto" w:fill="auto"/>
            <w:vAlign w:val="center"/>
          </w:tcPr>
          <w:p>
            <w:pPr>
              <w:pStyle w:val="13"/>
              <w:widowControl/>
              <w:spacing w:before="30" w:beforeAutospacing="0" w:after="30" w:afterAutospacing="0"/>
              <w:rPr>
                <w:rFonts w:hint="default" w:ascii="Times New Roman" w:hAnsi="Times New Roman" w:cs="Times New Roman"/>
                <w:sz w:val="24"/>
                <w:szCs w:val="24"/>
              </w:rPr>
            </w:pPr>
            <w:r>
              <w:rPr>
                <w:rFonts w:hint="default" w:ascii="Times New Roman" w:hAnsi="Times New Roman" w:cs="Times New Roman"/>
                <w:sz w:val="24"/>
                <w:szCs w:val="24"/>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pPr>
        <w:pStyle w:val="13"/>
        <w:widowControl/>
        <w:shd w:val="clear" w:color="auto" w:fill="FFFFFF"/>
        <w:spacing w:before="30" w:beforeAutospacing="0" w:after="30" w:afterAutospacing="0" w:line="240" w:lineRule="auto"/>
        <w:ind w:left="0" w:firstLine="0"/>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color="auto" w:fill="FFFFFF"/>
        </w:rPr>
        <w:t> </w:t>
      </w:r>
    </w:p>
    <w:p>
      <w:pPr>
        <w:pStyle w:val="13"/>
        <w:widowControl/>
        <w:shd w:val="clear" w:color="auto" w:fill="FFFFFF"/>
        <w:spacing w:before="30" w:beforeAutospacing="0" w:after="30" w:afterAutospacing="0" w:line="240" w:lineRule="auto"/>
        <w:ind w:left="0" w:firstLine="0"/>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color="auto" w:fill="FFFFFF"/>
        </w:rPr>
        <w:t>Государственным  служащим и работникам ФМС России следует уделять внимание манере своего общения с гражданами, коллегами, представителями организаций,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pPr>
        <w:pStyle w:val="13"/>
        <w:widowControl/>
        <w:shd w:val="clear" w:color="auto" w:fill="FFFFFF"/>
        <w:spacing w:before="30" w:beforeAutospacing="0" w:after="30" w:afterAutospacing="0" w:line="240" w:lineRule="auto"/>
        <w:ind w:left="0" w:firstLine="0"/>
        <w:jc w:val="center"/>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i w:val="0"/>
          <w:caps w:val="0"/>
          <w:color w:val="000000"/>
          <w:spacing w:val="0"/>
          <w:sz w:val="24"/>
          <w:szCs w:val="24"/>
          <w:shd w:val="clear" w:color="auto" w:fill="FFFFFF"/>
        </w:rPr>
        <w:t>ВАШИ ДЕЙСТВИЯ В СЛУЧАЕ ПРЕДЛОЖЕНИЯ ИЛИ ВЫМОГАТЕЛЬСТВА ВЗЯТКИ</w:t>
      </w:r>
    </w:p>
    <w:p>
      <w:pPr>
        <w:pStyle w:val="13"/>
        <w:widowControl/>
        <w:shd w:val="clear" w:color="auto" w:fill="FFFFFF"/>
        <w:spacing w:before="30" w:beforeAutospacing="0" w:after="30" w:afterAutospacing="0" w:line="240" w:lineRule="auto"/>
        <w:ind w:left="0" w:firstLine="0"/>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color="auto" w:fill="FFFFFF"/>
        </w:rPr>
        <w:t>·         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w:t>
      </w:r>
    </w:p>
    <w:p>
      <w:pPr>
        <w:pStyle w:val="13"/>
        <w:widowControl/>
        <w:shd w:val="clear" w:color="auto" w:fill="FFFFFF"/>
        <w:spacing w:before="30" w:beforeAutospacing="0" w:after="30" w:afterAutospacing="0" w:line="240" w:lineRule="auto"/>
        <w:ind w:left="0" w:firstLine="0"/>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color="auto" w:fill="FFFFFF"/>
        </w:rP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pPr>
        <w:pStyle w:val="13"/>
        <w:widowControl/>
        <w:shd w:val="clear" w:color="auto" w:fill="FFFFFF"/>
        <w:spacing w:before="30" w:beforeAutospacing="0" w:after="30" w:afterAutospacing="0" w:line="240" w:lineRule="auto"/>
        <w:ind w:left="0" w:firstLine="0"/>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color="auto" w:fill="FFFFFF"/>
        </w:rPr>
        <w:t>·         постараться перенести вопрос о времени и месте передачи взятки до следующей беседы и предложить хорошо знакомое Вам место для следующей встречи;</w:t>
      </w:r>
    </w:p>
    <w:p>
      <w:pPr>
        <w:pStyle w:val="13"/>
        <w:widowControl/>
        <w:shd w:val="clear" w:color="auto" w:fill="FFFFFF"/>
        <w:spacing w:before="30" w:beforeAutospacing="0" w:after="30" w:afterAutospacing="0" w:line="240" w:lineRule="auto"/>
        <w:ind w:left="0" w:firstLine="0"/>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color="auto" w:fill="FFFFFF"/>
        </w:rPr>
        <w:t>·         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w:t>
      </w:r>
    </w:p>
    <w:p>
      <w:pPr>
        <w:pStyle w:val="13"/>
        <w:widowControl/>
        <w:shd w:val="clear" w:color="auto" w:fill="FFFFFF"/>
        <w:spacing w:before="30" w:beforeAutospacing="0" w:after="30" w:afterAutospacing="0" w:line="240" w:lineRule="auto"/>
        <w:ind w:left="0" w:firstLine="0"/>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color="auto" w:fill="FFFFFF"/>
        </w:rPr>
        <w:t>·         при наличии у Вас диктофона постараться записать (скрытно) предложение о взятке или ее вымогательстве.</w:t>
      </w:r>
    </w:p>
    <w:p>
      <w:pPr>
        <w:pStyle w:val="13"/>
        <w:widowControl/>
        <w:shd w:val="clear" w:color="auto" w:fill="FFFFFF"/>
        <w:spacing w:before="30" w:beforeAutospacing="0" w:after="30" w:afterAutospacing="0" w:line="240" w:lineRule="auto"/>
        <w:ind w:left="0" w:firstLine="0"/>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color="auto" w:fill="FFFFFF"/>
        </w:rPr>
        <w:t>      </w:t>
      </w:r>
      <w:r>
        <w:rPr>
          <w:rFonts w:hint="default" w:ascii="Times New Roman" w:hAnsi="Times New Roman" w:cs="Times New Roman"/>
          <w:b/>
          <w:i w:val="0"/>
          <w:caps w:val="0"/>
          <w:color w:val="000000"/>
          <w:spacing w:val="0"/>
          <w:sz w:val="24"/>
          <w:szCs w:val="24"/>
          <w:shd w:val="clear" w:color="auto" w:fill="FFFFFF"/>
        </w:rPr>
        <w:t>ЧТО СЛЕДУЕТ ВАМ ПРЕДПРИНЯТЬ СРАЗУ ПОСЛЕ СВЕРШИВШЕГОСЯ ФАКТА ПРЕДЛОЖЕНИЯ ИЛИ ВЫМОГАНИЯ ВЗЯТКИ?</w:t>
      </w:r>
    </w:p>
    <w:p>
      <w:pPr>
        <w:pStyle w:val="13"/>
        <w:widowControl/>
        <w:shd w:val="clear" w:color="auto" w:fill="FFFFFF"/>
        <w:spacing w:before="30" w:beforeAutospacing="0" w:after="30" w:afterAutospacing="0" w:line="240" w:lineRule="auto"/>
        <w:ind w:left="0" w:firstLine="0"/>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color="auto" w:fill="FFFFFF"/>
        </w:rPr>
        <w:t>1. Доложить о данном факте служебной запиской (рапортом) своему непосредственному начальнику.</w:t>
      </w:r>
    </w:p>
    <w:p>
      <w:pPr>
        <w:pStyle w:val="13"/>
        <w:widowControl/>
        <w:shd w:val="clear" w:color="auto" w:fill="FFFFFF"/>
        <w:spacing w:before="30" w:beforeAutospacing="0" w:after="30" w:afterAutospacing="0" w:line="240" w:lineRule="auto"/>
        <w:ind w:left="0" w:firstLine="0"/>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color="auto" w:fill="FFFFFF"/>
        </w:rPr>
        <w:t>2.Обратиться с устным или письменным сообщением о готовящемся преступлении к непосредственному начальнику по месту Вашей службы (работы) или в правоохранительные органы.</w:t>
      </w:r>
    </w:p>
    <w:p>
      <w:pPr>
        <w:pStyle w:val="13"/>
        <w:widowControl/>
        <w:shd w:val="clear" w:color="auto" w:fill="FFFFFF"/>
        <w:spacing w:before="30" w:beforeAutospacing="0" w:after="30" w:afterAutospacing="0" w:line="240" w:lineRule="auto"/>
        <w:ind w:left="0" w:firstLine="0"/>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color="auto" w:fill="FFFFFF"/>
        </w:rPr>
        <w:t>В случаях предложения или вымогательства взятки со стороны сотрудников органов внутренних дел, безопасности и других правоохранительных органов, Вы можете обращаться непосредственно в подразделения собственной безопасности этих органов, которые занимаются вопросами пресечения преступлений, совершаемых их сотрудниками.</w:t>
      </w:r>
    </w:p>
    <w:p>
      <w:pPr>
        <w:pStyle w:val="13"/>
        <w:widowControl/>
        <w:shd w:val="clear" w:color="auto" w:fill="FFFFFF"/>
        <w:spacing w:before="30" w:beforeAutospacing="0" w:after="30" w:afterAutospacing="0" w:line="240" w:lineRule="auto"/>
        <w:ind w:left="0" w:firstLine="0"/>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color="auto" w:fill="FFFFFF"/>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pPr>
        <w:pStyle w:val="13"/>
        <w:widowControl/>
        <w:shd w:val="clear" w:color="auto" w:fill="FFFFFF"/>
        <w:spacing w:before="30" w:beforeAutospacing="0" w:after="30" w:afterAutospacing="0" w:line="240" w:lineRule="auto"/>
        <w:ind w:left="0" w:firstLine="0"/>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color="auto" w:fill="FFFFFF"/>
        </w:rPr>
        <w:t>В дежурной части органа внутренних дел, приемной органов прокуратуры, Федеральной службы безопасности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p>
    <w:p>
      <w:pPr>
        <w:pStyle w:val="13"/>
        <w:widowControl/>
        <w:shd w:val="clear" w:color="auto" w:fill="FFFFFF"/>
        <w:spacing w:before="30" w:beforeAutospacing="0" w:after="30" w:afterAutospacing="0" w:line="240" w:lineRule="auto"/>
        <w:ind w:left="0" w:firstLine="0"/>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color="auto" w:fill="FFFFFF"/>
        </w:rP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w:t>
      </w:r>
    </w:p>
    <w:p>
      <w:pPr>
        <w:pStyle w:val="13"/>
        <w:widowControl/>
        <w:shd w:val="clear" w:color="auto" w:fill="FFFFFF"/>
        <w:spacing w:before="30" w:beforeAutospacing="0" w:after="30" w:afterAutospacing="0" w:line="240" w:lineRule="auto"/>
        <w:ind w:left="0" w:firstLine="0"/>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color="auto" w:fill="FFFFFF"/>
        </w:rPr>
        <w:t>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w:t>
      </w:r>
    </w:p>
    <w:p>
      <w:pPr>
        <w:pStyle w:val="13"/>
        <w:widowControl/>
        <w:shd w:val="clear" w:color="auto" w:fill="FFFFFF"/>
        <w:spacing w:before="30" w:beforeAutospacing="0" w:after="30" w:afterAutospacing="0" w:line="240" w:lineRule="auto"/>
        <w:ind w:left="0" w:firstLine="0"/>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b w:val="0"/>
          <w:i w:val="0"/>
          <w:caps w:val="0"/>
          <w:color w:val="000000"/>
          <w:spacing w:val="0"/>
          <w:sz w:val="24"/>
          <w:szCs w:val="24"/>
          <w:shd w:val="clear" w:color="auto" w:fill="FFFFFF"/>
        </w:rPr>
        <w:t>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 В случае отказа принять от Вас сообщение (заявление) о даче взятки Вы имеете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
    <w:p>
      <w:pPr>
        <w:rPr>
          <w:rFonts w:hint="default" w:ascii="Times New Roman" w:hAnsi="Times New Roman" w:cs="Times New Roman"/>
          <w:sz w:val="24"/>
          <w:szCs w:val="24"/>
        </w:rPr>
      </w:pPr>
    </w:p>
    <w:sectPr>
      <w:pgSz w:w="12247" w:h="15819"/>
      <w:pgMar w:top="1440" w:right="1797" w:bottom="1440" w:left="1797" w:header="708" w:footer="708" w:gutter="0"/>
      <w:cols w:space="720" w:num="1"/>
      <w:docGrid w:linePitch="2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Droid Sans Fallback"/>
    <w:panose1 w:val="02010600030101010101"/>
    <w:charset w:val="86"/>
    <w:family w:val="auto"/>
    <w:pitch w:val="default"/>
    <w:sig w:usb0="00000000" w:usb1="00000000" w:usb2="00000000" w:usb3="00000000" w:csb0="00000000" w:csb1="00000000"/>
  </w:font>
  <w:font w:name="Wingdings">
    <w:altName w:val="Andale Mono"/>
    <w:panose1 w:val="05000000000000000000"/>
    <w:charset w:val="00"/>
    <w:family w:val="auto"/>
    <w:pitch w:val="default"/>
    <w:sig w:usb0="00000000" w:usb1="1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SimSun">
    <w:altName w:val="Droid Sans Fallback"/>
    <w:panose1 w:val="02010600030101010101"/>
    <w:charset w:val="86"/>
    <w:family w:val="auto"/>
    <w:pitch w:val="default"/>
    <w:sig w:usb0="00000003" w:usb1="080E0000" w:usb2="00000000" w:usb3="00000000" w:csb0="00040001" w:csb1="00000000"/>
  </w:font>
  <w:font w:name="Droid Sans Fallback">
    <w:panose1 w:val="020B0502000000000001"/>
    <w:charset w:val="86"/>
    <w:family w:val="auto"/>
    <w:pitch w:val="default"/>
    <w:sig w:usb0="910002FF" w:usb1="2BDFFCFB" w:usb2="00000036" w:usb3="00000000" w:csb0="203F01FF" w:csb1="D7FF0000"/>
  </w:font>
  <w:font w:name="Verdana">
    <w:panose1 w:val="020B0604030504040204"/>
    <w:charset w:val="00"/>
    <w:family w:val="auto"/>
    <w:pitch w:val="default"/>
    <w:sig w:usb0="00000287" w:usb1="00000000"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43"/>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doNotBreakWrappedTables/>
    <w:doNotWrapTextWithPunct/>
    <w:doNotUseEastAsianBreakRules/>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77B1B2DC"/>
    <w:rsid w:val="77B1B2DC"/>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name="index 1"/>
    <w:lsdException w:unhideWhenUsed="0" w:uiPriority="0" w:name="index 2"/>
    <w:lsdException w:unhideWhenUsed="0" w:uiPriority="0" w:name="index 3"/>
    <w:lsdException w:unhideWhenUsed="0" w:uiPriority="0" w:name="index 4"/>
    <w:lsdException w:unhideWhenUsed="0" w:uiPriority="0" w:name="index 5"/>
    <w:lsdException w:unhideWhenUsed="0" w:uiPriority="0" w:name="index 6"/>
    <w:lsdException w:unhideWhenUsed="0" w:uiPriority="0" w:name="index 7"/>
    <w:lsdException w:unhideWhenUsed="0" w:uiPriority="0" w:name="index 8"/>
    <w:lsdException w:unhideWhenUsed="0" w:uiPriority="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name="footnote text"/>
    <w:lsdException w:unhideWhenUsed="0" w:uiPriority="0" w:name="annotation text"/>
    <w:lsdException w:unhideWhenUsed="0" w:uiPriority="0" w:semiHidden="0" w:name="header"/>
    <w:lsdException w:unhideWhenUsed="0" w:uiPriority="0" w:semiHidden="0" w:name="footer"/>
    <w:lsdException w:unhideWhenUsed="0" w:uiPriority="0" w:name="index heading"/>
    <w:lsdException w:unhideWhenUsed="0" w:uiPriority="0" w:name="caption"/>
    <w:lsdException w:unhideWhenUsed="0" w:uiPriority="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name="endnote reference"/>
    <w:lsdException w:unhideWhenUsed="0" w:uiPriority="0" w:name="endnote text"/>
    <w:lsdException w:unhideWhenUsed="0" w:uiPriority="0" w:name="table of authorities"/>
    <w:lsdException w:unhideWhenUsed="0" w:uiPriority="0" w:name="macro"/>
    <w:lsdException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left"/>
    </w:pPr>
    <w:rPr>
      <w:rFonts w:ascii="Times New Roman" w:hAnsi="Times New Roman"/>
      <w:kern w:val="2"/>
      <w:sz w:val="21"/>
      <w:lang w:val="en-US" w:eastAsia="zh-CN"/>
    </w:rPr>
  </w:style>
  <w:style w:type="paragraph" w:styleId="2">
    <w:name w:val="heading 1"/>
    <w:basedOn w:val="1"/>
    <w:next w:val="1"/>
    <w:uiPriority w:val="0"/>
    <w:pPr>
      <w:keepNext/>
      <w:keepLines/>
      <w:spacing w:before="240" w:beforeLines="0" w:beforeAutospacing="0" w:after="60" w:afterLines="0" w:afterAutospacing="0" w:line="240" w:lineRule="auto"/>
      <w:outlineLvl w:val="0"/>
    </w:pPr>
    <w:rPr>
      <w:rFonts w:ascii="Arial" w:hAnsi="Arial"/>
      <w:b/>
      <w:kern w:val="44"/>
      <w:sz w:val="32"/>
    </w:rPr>
  </w:style>
  <w:style w:type="paragraph" w:styleId="3">
    <w:name w:val="heading 2"/>
    <w:basedOn w:val="1"/>
    <w:next w:val="1"/>
    <w:uiPriority w:val="0"/>
    <w:pPr>
      <w:keepNext/>
      <w:keepLines/>
      <w:spacing w:before="240" w:beforeLines="0" w:beforeAutospacing="0" w:after="60" w:afterLines="0" w:afterAutospacing="0" w:line="240" w:lineRule="auto"/>
      <w:outlineLvl w:val="1"/>
    </w:pPr>
    <w:rPr>
      <w:rFonts w:ascii="Arial" w:hAnsi="Arial"/>
      <w:b/>
      <w:i/>
      <w:sz w:val="28"/>
    </w:rPr>
  </w:style>
  <w:style w:type="paragraph" w:styleId="4">
    <w:name w:val="heading 3"/>
    <w:basedOn w:val="1"/>
    <w:next w:val="1"/>
    <w:uiPriority w:val="0"/>
    <w:pPr>
      <w:keepNext/>
      <w:keepLines/>
      <w:spacing w:before="240" w:beforeLines="0" w:beforeAutospacing="0" w:after="60" w:afterLines="0" w:afterAutospacing="0" w:line="240" w:lineRule="auto"/>
      <w:outlineLvl w:val="2"/>
    </w:pPr>
    <w:rPr>
      <w:rFonts w:ascii="Arial" w:hAnsi="Arial"/>
      <w:b/>
      <w:sz w:val="26"/>
    </w:rPr>
  </w:style>
  <w:style w:type="paragraph" w:styleId="5">
    <w:name w:val="heading 4"/>
    <w:basedOn w:val="1"/>
    <w:next w:val="1"/>
    <w:uiPriority w:val="0"/>
    <w:pPr>
      <w:keepNext/>
      <w:keepLines/>
      <w:spacing w:before="240" w:beforeLines="0" w:beforeAutospacing="0" w:after="60" w:afterLines="0" w:afterAutospacing="0" w:line="240" w:lineRule="auto"/>
      <w:outlineLvl w:val="3"/>
    </w:pPr>
    <w:rPr>
      <w:rFonts w:ascii="Times New Roman" w:hAnsi="Times New Roman"/>
      <w:b/>
      <w:sz w:val="28"/>
    </w:rPr>
  </w:style>
  <w:style w:type="paragraph" w:styleId="6">
    <w:name w:val="heading 5"/>
    <w:basedOn w:val="1"/>
    <w:next w:val="1"/>
    <w:uiPriority w:val="0"/>
    <w:pPr>
      <w:keepNext/>
      <w:keepLines/>
      <w:spacing w:before="240" w:beforeLines="0" w:beforeAutospacing="0" w:after="60" w:afterLines="0" w:afterAutospacing="0" w:line="240" w:lineRule="auto"/>
      <w:outlineLvl w:val="4"/>
    </w:pPr>
    <w:rPr>
      <w:b/>
      <w:i/>
      <w:sz w:val="26"/>
    </w:rPr>
  </w:style>
  <w:style w:type="paragraph" w:styleId="7">
    <w:name w:val="heading 6"/>
    <w:basedOn w:val="1"/>
    <w:next w:val="1"/>
    <w:uiPriority w:val="0"/>
    <w:pPr>
      <w:keepNext/>
      <w:keepLines/>
      <w:spacing w:before="240" w:beforeLines="0" w:beforeAutospacing="0" w:after="60" w:afterLines="0" w:afterAutospacing="0" w:line="240" w:lineRule="auto"/>
      <w:outlineLvl w:val="5"/>
    </w:pPr>
    <w:rPr>
      <w:rFonts w:ascii="Times New Roman" w:hAnsi="Times New Roman"/>
      <w:b/>
      <w:sz w:val="22"/>
    </w:rPr>
  </w:style>
  <w:style w:type="paragraph" w:styleId="8">
    <w:name w:val="heading 7"/>
    <w:basedOn w:val="1"/>
    <w:next w:val="1"/>
    <w:uiPriority w:val="0"/>
    <w:pPr>
      <w:keepNext/>
      <w:keepLines/>
      <w:spacing w:before="240" w:beforeLines="0" w:beforeAutospacing="0" w:after="60" w:afterLines="0" w:afterAutospacing="0" w:line="240" w:lineRule="auto"/>
      <w:outlineLvl w:val="6"/>
    </w:pPr>
    <w:rPr>
      <w:sz w:val="24"/>
    </w:rPr>
  </w:style>
  <w:style w:type="paragraph" w:styleId="9">
    <w:name w:val="heading 8"/>
    <w:basedOn w:val="1"/>
    <w:next w:val="1"/>
    <w:uiPriority w:val="0"/>
    <w:pPr>
      <w:keepNext/>
      <w:keepLines/>
      <w:spacing w:before="240" w:beforeLines="0" w:beforeAutospacing="0" w:after="60" w:afterLines="0" w:afterAutospacing="0" w:line="240" w:lineRule="auto"/>
      <w:outlineLvl w:val="7"/>
    </w:pPr>
    <w:rPr>
      <w:rFonts w:ascii="Times New Roman" w:hAnsi="Times New Roman"/>
      <w:i/>
      <w:sz w:val="24"/>
    </w:rPr>
  </w:style>
  <w:style w:type="paragraph" w:styleId="10">
    <w:name w:val="heading 9"/>
    <w:basedOn w:val="1"/>
    <w:next w:val="1"/>
    <w:uiPriority w:val="0"/>
    <w:pPr>
      <w:keepNext/>
      <w:keepLines/>
      <w:spacing w:before="240" w:beforeLines="0" w:beforeAutospacing="0" w:after="60" w:afterLines="0" w:afterAutospacing="0" w:line="240" w:lineRule="auto"/>
      <w:outlineLvl w:val="8"/>
    </w:pPr>
    <w:rPr>
      <w:rFonts w:ascii="Arial" w:hAnsi="Arial"/>
      <w:sz w:val="22"/>
    </w:rPr>
  </w:style>
  <w:style w:type="character" w:default="1" w:styleId="14">
    <w:name w:val="Default Paragraph Font"/>
    <w:uiPriority w:val="0"/>
  </w:style>
  <w:style w:type="table" w:default="1" w:styleId="16">
    <w:name w:val="Normal Table"/>
    <w:semiHidden/>
    <w:uiPriority w:val="0"/>
    <w:tblPr>
      <w:tblLayout w:type="fixed"/>
      <w:tblCellMar>
        <w:top w:w="0" w:type="dxa"/>
        <w:left w:w="108" w:type="dxa"/>
        <w:bottom w:w="0" w:type="dxa"/>
        <w:right w:w="108" w:type="dxa"/>
      </w:tblCellMar>
    </w:tblPr>
  </w:style>
  <w:style w:type="paragraph" w:styleId="11">
    <w:name w:val="footer"/>
    <w:basedOn w:val="1"/>
    <w:uiPriority w:val="0"/>
    <w:pPr>
      <w:tabs>
        <w:tab w:val="center" w:pos="4153"/>
        <w:tab w:val="right" w:pos="8306"/>
      </w:tabs>
      <w:snapToGrid w:val="0"/>
      <w:jc w:val="left"/>
    </w:pPr>
    <w:rPr>
      <w:sz w:val="18"/>
      <w:szCs w:val="18"/>
    </w:rPr>
  </w:style>
  <w:style w:type="paragraph" w:styleId="12">
    <w:name w:val="header"/>
    <w:basedOn w:val="1"/>
    <w:uiPriority w:val="0"/>
    <w:pPr>
      <w:tabs>
        <w:tab w:val="center" w:pos="4153"/>
        <w:tab w:val="right" w:pos="8306"/>
      </w:tabs>
      <w:snapToGrid w:val="0"/>
    </w:pPr>
    <w:rPr>
      <w:sz w:val="18"/>
      <w:szCs w:val="18"/>
    </w:rPr>
  </w:style>
  <w:style w:type="paragraph" w:styleId="13">
    <w:name w:val="Normal (Web)"/>
    <w:uiPriority w:val="0"/>
    <w:pPr>
      <w:spacing w:before="0" w:beforeAutospacing="1" w:after="0" w:afterAutospacing="1"/>
      <w:ind w:left="0" w:right="0"/>
      <w:jc w:val="left"/>
    </w:pPr>
    <w:rPr>
      <w:kern w:val="0"/>
      <w:sz w:val="24"/>
      <w:szCs w:val="24"/>
      <w:lang w:val="en-US" w:eastAsia="zh-CN" w:bidi="ar-SA"/>
    </w:rPr>
  </w:style>
  <w:style w:type="character" w:styleId="15">
    <w:name w:val="Hyperlink"/>
    <w:basedOn w:val="1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ScaleCrop>false</ScaleCrop>
  <LinksUpToDate>false</LinksUpToDate>
  <CharactersWithSpaces>0</CharactersWithSpaces>
  <Application>WPS Office Сообщество_9.1.0.4975_F1E327BC-269C-435d-A152-05C5408002CA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2016-01-12T21:41:00Z</dcterms:created>
  <dc:creator>user</dc:creator>
  <cp:lastModifiedBy>user</cp:lastModifiedBy>
  <dcterms:modified xsi:type="dcterms:W3CDTF">2016-01-12T21:42:18Z</dcterms:modified>
  <dc:title>ИНФОРМАЦИОННАЯ ПАМЯТКА</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1049-9.1.0.4975</vt:lpwstr>
  </property>
</Properties>
</file>